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D77" w:rsidRDefault="00DC05B0" w:rsidP="009E32C2">
      <w:pPr>
        <w:pStyle w:val="Heading110"/>
        <w:shd w:val="clear" w:color="auto" w:fill="auto"/>
        <w:tabs>
          <w:tab w:val="left" w:pos="4111"/>
        </w:tabs>
        <w:spacing w:after="120" w:line="276" w:lineRule="auto"/>
        <w:rPr>
          <w:color w:val="000000"/>
        </w:rPr>
      </w:pPr>
      <w:bookmarkStart w:id="0" w:name="bookmark0"/>
      <w:r>
        <w:rPr>
          <w:color w:val="000000"/>
        </w:rPr>
        <w:t>Simulación de la acción por el clima: países desarrollados</w:t>
      </w:r>
      <w:bookmarkEnd w:id="0"/>
    </w:p>
    <w:tbl>
      <w:tblPr>
        <w:tblStyle w:val="TableGrid"/>
        <w:tblW w:w="9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843"/>
        <w:gridCol w:w="5387"/>
      </w:tblGrid>
      <w:tr w:rsidR="004D0CFD" w:rsidTr="009E32C2">
        <w:trPr>
          <w:trHeight w:val="725"/>
        </w:trPr>
        <w:tc>
          <w:tcPr>
            <w:tcW w:w="2660" w:type="dxa"/>
            <w:vMerge w:val="restart"/>
          </w:tcPr>
          <w:p w:rsidR="004D0CFD" w:rsidRPr="00290B55" w:rsidRDefault="0091067F" w:rsidP="004D0CFD">
            <w:pPr>
              <w:rPr>
                <w:sz w:val="16"/>
                <w:szCs w:val="16"/>
              </w:rPr>
            </w:pPr>
            <w:r>
              <w:rPr>
                <w:noProof/>
                <w:sz w:val="16"/>
                <w:szCs w:val="16"/>
                <w:lang w:val="en-US"/>
              </w:rPr>
              <w:drawing>
                <wp:anchor distT="0" distB="0" distL="63500" distR="63500" simplePos="0" relativeHeight="251658752" behindDoc="1" locked="0" layoutInCell="1" allowOverlap="1" wp14:anchorId="48386D96" wp14:editId="37D0F14E">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843" w:type="dxa"/>
          </w:tcPr>
          <w:p w:rsidR="004D0CFD" w:rsidRPr="00290B55" w:rsidRDefault="004D0CFD" w:rsidP="00290B55">
            <w:pPr>
              <w:spacing w:before="120"/>
              <w:rPr>
                <w:b/>
              </w:rPr>
            </w:pPr>
            <w:r>
              <w:rPr>
                <w:b/>
                <w:color w:val="000000"/>
              </w:rPr>
              <w:t xml:space="preserve">A la atención de: </w:t>
            </w:r>
          </w:p>
        </w:tc>
        <w:tc>
          <w:tcPr>
            <w:tcW w:w="5387" w:type="dxa"/>
          </w:tcPr>
          <w:p w:rsidR="004D0CFD" w:rsidRPr="00290B55" w:rsidRDefault="004D0CFD" w:rsidP="009E32C2">
            <w:pPr>
              <w:spacing w:before="120"/>
              <w:ind w:right="456"/>
              <w:rPr>
                <w:b/>
                <w:color w:val="000000"/>
              </w:rPr>
            </w:pPr>
            <w:r>
              <w:rPr>
                <w:b/>
                <w:color w:val="000000"/>
              </w:rPr>
              <w:t>los negociadores principales de los países desarrollados</w:t>
            </w:r>
          </w:p>
          <w:p w:rsidR="004D0CFD" w:rsidRDefault="004D0CFD" w:rsidP="004D0CFD">
            <w:r>
              <w:rPr>
                <w:color w:val="000000"/>
              </w:rPr>
              <w:t>(Estados Unidos, Canadá, Unión Europea, Japón, Rusia y otras antiguas Repúblicas soviéticas, Corea del Sur, Australia y Nueva Zelanda)</w:t>
            </w:r>
          </w:p>
        </w:tc>
      </w:tr>
      <w:tr w:rsidR="004D0CFD" w:rsidTr="009E32C2">
        <w:trPr>
          <w:trHeight w:val="725"/>
        </w:trPr>
        <w:tc>
          <w:tcPr>
            <w:tcW w:w="2660" w:type="dxa"/>
            <w:vMerge/>
          </w:tcPr>
          <w:p w:rsidR="004D0CFD" w:rsidRPr="004D0CFD" w:rsidRDefault="004D0CFD" w:rsidP="004D0CFD">
            <w:pPr>
              <w:rPr>
                <w:lang w:bidi="en-US"/>
              </w:rPr>
            </w:pPr>
          </w:p>
        </w:tc>
        <w:tc>
          <w:tcPr>
            <w:tcW w:w="1843" w:type="dxa"/>
          </w:tcPr>
          <w:p w:rsidR="004D0CFD" w:rsidRPr="00290B55" w:rsidRDefault="004D0CFD" w:rsidP="00290B55">
            <w:pPr>
              <w:spacing w:before="120"/>
              <w:rPr>
                <w:b/>
                <w:color w:val="000000"/>
              </w:rPr>
            </w:pPr>
            <w:r>
              <w:rPr>
                <w:b/>
                <w:color w:val="000000"/>
              </w:rPr>
              <w:t>Asunto:</w:t>
            </w:r>
          </w:p>
        </w:tc>
        <w:tc>
          <w:tcPr>
            <w:tcW w:w="5387" w:type="dxa"/>
          </w:tcPr>
          <w:p w:rsidR="004D0CFD" w:rsidRPr="00290B55" w:rsidRDefault="004D0CFD" w:rsidP="00290B55">
            <w:pPr>
              <w:spacing w:before="120"/>
              <w:rPr>
                <w:b/>
                <w:color w:val="000000"/>
              </w:rPr>
            </w:pPr>
            <w:r>
              <w:rPr>
                <w:b/>
                <w:color w:val="000000"/>
              </w:rPr>
              <w:t>preparación de la Cumbre sobre la Acción Climática</w:t>
            </w:r>
          </w:p>
        </w:tc>
      </w:tr>
    </w:tbl>
    <w:p w:rsidR="004D0CFD" w:rsidRPr="00290B55" w:rsidRDefault="004D0CFD" w:rsidP="00290B55"/>
    <w:p w:rsidR="002C1D77" w:rsidRPr="004D0CFD" w:rsidRDefault="00DC05B0" w:rsidP="00290B55">
      <w:pPr>
        <w:spacing w:after="120"/>
      </w:pPr>
      <w:r>
        <w:t xml:space="preserve">Bienvenidos a la Cumbre sobre la Acción Climática. El secretario general de las Naciones Unidas les ha invitado a colaborar con los líderes de todas las partes interesadas para abordar con éxito el cambio climático. En su invitación, el secretario general </w:t>
      </w:r>
      <w:r>
        <w:rPr>
          <w:rStyle w:val="Bodytext2"/>
        </w:rPr>
        <w:t>señaló</w:t>
      </w:r>
      <w:r>
        <w:t xml:space="preserve"> que: «La emergencia climática es una carrera que estamos perdiendo, pero que podemos ganar [...]. Según las investigaciones científicas más avanzadas [...], cualquier aumento de la temperatura por encima de 1,5 °C provocará daños importantes e irreversibles en nuestros ecosistemas [...]. Pero la ciencia también asegura que no es demasiado tarde. Podemos conseguirlo..., pero será necesario llevar a cabo transformaciones fundamentales en todos los aspectos de la sociedad: el modo en que cultivamos alimentos o utilizamos la tierra, el combustible que utilizamos para nuestros medios de transporte y cómo impulsamos nuestras economías [...]. Si actuamos conjuntamente, no dejaremos a nadie atrás».</w:t>
      </w:r>
    </w:p>
    <w:p w:rsidR="002C1D77" w:rsidRPr="004D0CFD" w:rsidRDefault="00DC05B0" w:rsidP="000A6D24">
      <w:pPr>
        <w:spacing w:after="120" w:line="276" w:lineRule="auto"/>
      </w:pPr>
      <w:r>
        <w:rPr>
          <w:color w:val="000000"/>
        </w:rPr>
        <w:t xml:space="preserve">El objetivo de la cumbre es establecer un plan para limitar el calentamiento global a menos de 2 °C [3,6 °F] por encima de los niveles preindustriales y esforzarse por alcanzar 1,5 °C [2,7 °F], lo que permitirá alcanzar las metas internacionales reconocidas formalmente en el Acuerdo de París sobre el Cambio Climático. </w:t>
      </w:r>
      <w:r>
        <w:t xml:space="preserve">Las </w:t>
      </w:r>
      <w:r>
        <w:rPr>
          <w:rStyle w:val="Bodytext2"/>
        </w:rPr>
        <w:t>pruebas científicas</w:t>
      </w:r>
      <w:r>
        <w:t xml:space="preserve"> son claras: el calentamiento por encima de este límite tendrá consecuencias catastróficas e irreversibles que representan una amenaza para la salud, la prosperidad y la vida de las personas en todos los países.</w:t>
      </w:r>
    </w:p>
    <w:p w:rsidR="002C1D77" w:rsidRPr="004D0CFD" w:rsidRDefault="00DC05B0" w:rsidP="00290B55">
      <w:pPr>
        <w:spacing w:after="120" w:line="276" w:lineRule="auto"/>
      </w:pPr>
      <w:r>
        <w:rPr>
          <w:color w:val="000000"/>
        </w:rPr>
        <w:t>Su grupo representa a los países desarrollados del mundo (enumerados anteriormente). La población combinada de sus países es de 1 300 millones, aproximadamente el 17 % de los 7 700 millones de personas del mundo. Sin embargo, colectivamente, sus países generan el 60 % de la producción económica mundial y tienen el producto interior bruto (PIB) per cápita más elevado.</w:t>
      </w:r>
    </w:p>
    <w:p w:rsidR="002C1D77" w:rsidRPr="004D0CFD" w:rsidRDefault="00DC05B0" w:rsidP="00290B55">
      <w:pPr>
        <w:spacing w:after="120" w:line="276" w:lineRule="auto"/>
      </w:pPr>
      <w:r>
        <w:rPr>
          <w:color w:val="000000"/>
        </w:rPr>
        <w:t>Sus prioridades políticas se exponen a continuación. Ustedes pueden, no obstante, proponer o bloquear una política determinada.</w:t>
      </w:r>
    </w:p>
    <w:p w:rsidR="002C1D77" w:rsidRPr="007A09A4" w:rsidRDefault="00DC05B0" w:rsidP="00290B55">
      <w:pPr>
        <w:numPr>
          <w:ilvl w:val="0"/>
          <w:numId w:val="1"/>
        </w:numPr>
        <w:spacing w:after="120" w:line="276" w:lineRule="auto"/>
        <w:ind w:left="403" w:hanging="403"/>
      </w:pPr>
      <w:r>
        <w:rPr>
          <w:b/>
          <w:color w:val="000000"/>
        </w:rPr>
        <w:t>Subvencionar las energías renovables (por ejemplo, energía solar, eólica, geotérmica e hidroeléctrica y almacenamiento de energía).</w:t>
      </w:r>
      <w:r>
        <w:rPr>
          <w:color w:val="000000"/>
        </w:rPr>
        <w:t xml:space="preserve"> </w:t>
      </w:r>
      <w:r>
        <w:t>El sector de las energías renovables está creciendo rápidamente, pero sigue aportando menos del 5 % del suministro energético mundial. Las subvenciones ayudarán a crecer a estas industrias, generando empleo en sus países (si puede superar la tecnología eólica, solar y de baterías que se está desarrollando en China y otras naciones en vías de desarrollo). El almacenamiento (por ejemplo, baterías, almacenamiento térmico, bombeo hidroeléctrico) y la tecnología de «redes inteligentes» permiten que las energías renovables variables, como la eólica y la solar, se integren en el sistema energético, al tiempo que se garantiza el suministro eléctrico a todas horas.</w:t>
      </w:r>
    </w:p>
    <w:p w:rsidR="002C1D77" w:rsidRPr="00290B55" w:rsidRDefault="00DC05B0" w:rsidP="00290B55">
      <w:pPr>
        <w:numPr>
          <w:ilvl w:val="0"/>
          <w:numId w:val="1"/>
        </w:numPr>
        <w:spacing w:after="120" w:line="276" w:lineRule="auto"/>
        <w:ind w:left="403" w:hanging="403"/>
        <w:rPr>
          <w:b/>
        </w:rPr>
      </w:pPr>
      <w:r>
        <w:rPr>
          <w:rStyle w:val="Bodytext2Bold"/>
        </w:rPr>
        <w:t>Reducir la deforestación.</w:t>
      </w:r>
      <w:r>
        <w:t xml:space="preserve"> </w:t>
      </w:r>
      <w:r>
        <w:rPr>
          <w:color w:val="000000"/>
        </w:rPr>
        <w:t xml:space="preserve">En la actualidad, la deforestación es responsable de alrededor del 15 % de las emisiones de gases de efecto invernadero (GEI). Gran parte de esta deforestación se produce en los bosques tropicales de las naciones en vías de desarrollo, como la cuenca del Amazonas, África, Asia </w:t>
      </w:r>
      <w:r>
        <w:rPr>
          <w:color w:val="000000"/>
        </w:rPr>
        <w:lastRenderedPageBreak/>
        <w:t>Meridional y Asia Sudoriental. Proteger los bosques puede reducir esas emisiones al tiempo que se preserva la biodiversidad y se garantiza el suministro de agua.</w:t>
      </w:r>
    </w:p>
    <w:p w:rsidR="002C1D77" w:rsidRPr="00290B55" w:rsidRDefault="00DC05B0" w:rsidP="00290B55">
      <w:pPr>
        <w:numPr>
          <w:ilvl w:val="0"/>
          <w:numId w:val="1"/>
        </w:numPr>
        <w:spacing w:after="120" w:line="276" w:lineRule="auto"/>
        <w:ind w:left="403" w:hanging="403"/>
        <w:rPr>
          <w:b/>
        </w:rPr>
      </w:pPr>
      <w:r>
        <w:rPr>
          <w:rStyle w:val="Bodytext2Bold"/>
        </w:rPr>
        <w:t xml:space="preserve">Considerar la forestación. </w:t>
      </w:r>
      <w:r>
        <w:rPr>
          <w:color w:val="000000"/>
        </w:rPr>
        <w:t xml:space="preserve">La forestación es el crecimiento de nuevos bosques en tierras que no tienen árboles; a veces se trata de tierras que fueron deforestadas o degradadas. </w:t>
      </w:r>
      <w:r>
        <w:t>A medida que crecen los árboles, se capta CO</w:t>
      </w:r>
      <w:r>
        <w:rPr>
          <w:vertAlign w:val="subscript"/>
        </w:rPr>
        <w:t>2</w:t>
      </w:r>
      <w:r>
        <w:t xml:space="preserve"> de la atmósfera y se almacena en la biomasa y los suelos.</w:t>
      </w:r>
      <w:r>
        <w:rPr>
          <w:color w:val="000000"/>
        </w:rPr>
        <w:t xml:space="preserve"> Si se aplica a gran escala, la forestación podría utilizar las tierras necesarias para los cultivos o el ganado, lo que incrementaría los precios de los alimentos. Consideren qué cantidad de tierras es necesaria para llevar a cabo las políticas de forestación que su grupo y otros proponen.</w:t>
      </w:r>
    </w:p>
    <w:p w:rsidR="002C1D77" w:rsidRPr="007A09A4" w:rsidRDefault="00DC05B0" w:rsidP="00290B55">
      <w:pPr>
        <w:numPr>
          <w:ilvl w:val="0"/>
          <w:numId w:val="1"/>
        </w:numPr>
        <w:spacing w:after="120" w:line="276" w:lineRule="auto"/>
        <w:ind w:left="400" w:hanging="400"/>
      </w:pPr>
      <w:r>
        <w:rPr>
          <w:b/>
          <w:color w:val="000000"/>
        </w:rPr>
        <w:t>Reducir las emisiones de metano, óxido nitroso y otros gases de efecto invernadero.</w:t>
      </w:r>
      <w:r>
        <w:t xml:space="preserve"> El CO</w:t>
      </w:r>
      <w:r>
        <w:rPr>
          <w:vertAlign w:val="subscript"/>
        </w:rPr>
        <w:t>2</w:t>
      </w:r>
      <w:r>
        <w:t xml:space="preserve"> es el GEI más importante, pero otros gases generan hoy día una cuarta parte del calentamiento global. Entre otros, cabe citar el metano (CH</w:t>
      </w:r>
      <w:r>
        <w:rPr>
          <w:vertAlign w:val="subscript"/>
        </w:rPr>
        <w:t>4</w:t>
      </w:r>
      <w:r>
        <w:t>), el óxido nitroso (N</w:t>
      </w:r>
      <w:r>
        <w:rPr>
          <w:vertAlign w:val="subscript"/>
        </w:rPr>
        <w:t>2</w:t>
      </w:r>
      <w:r>
        <w:t>O) y una amplia gama de clorofluorocarburos y otros compuestos fluorados (denominados gases fluorados). Molécula a molécula, muchos de los gases distintos del CO</w:t>
      </w:r>
      <w:r>
        <w:rPr>
          <w:vertAlign w:val="subscript"/>
        </w:rPr>
        <w:t>2</w:t>
      </w:r>
      <w:r>
        <w:t xml:space="preserve"> contribuirán decenas, centenas o incluso miles de veces más al calentamiento global en el próximo siglo que el CO</w:t>
      </w:r>
      <w:r>
        <w:rPr>
          <w:vertAlign w:val="subscript"/>
        </w:rPr>
        <w:t>2</w:t>
      </w:r>
      <w:r>
        <w:t>. Aunque sus concentraciones son bajas, están creciendo rápidamente.</w:t>
      </w:r>
    </w:p>
    <w:p w:rsidR="002C1D77" w:rsidRPr="007A09A4" w:rsidRDefault="00DC05B0" w:rsidP="00290B55">
      <w:pPr>
        <w:keepLines/>
        <w:numPr>
          <w:ilvl w:val="0"/>
          <w:numId w:val="1"/>
        </w:numPr>
        <w:spacing w:after="120" w:line="276" w:lineRule="auto"/>
        <w:ind w:left="403" w:hanging="403"/>
      </w:pPr>
      <w:r>
        <w:rPr>
          <w:b/>
        </w:rPr>
        <w:t>Decidir si invertir en investigación y desarrollo (I+D) de una nueva fuente de energía a bajo coste con cero emisiones de carbono.</w:t>
      </w:r>
      <w:r>
        <w:t xml:space="preserve"> Algunos científicos creen que un nuevo tipo de energía nuclear, como la fisión de torio o la fusión nuclear, ofrecería la mejor fuente de energía posible para sustituir a los combustibles fósiles, y defienden que estas tecnologías podrían proporcionar a gran escala electricidad a bajo coste con cero emisiones de carbono. Varias universidades y empresas destacadas están explorando nuevas soluciones prometedoras en el ámbito de la energía nuclear. Sin embargo, estas nuevas tecnologías no están disponibles actualmente y requerirían inversiones ingentes para ser viables desde el punto de vista comercial.</w:t>
      </w:r>
    </w:p>
    <w:p w:rsidR="002C1D77" w:rsidRPr="007A09A4" w:rsidRDefault="00DC05B0" w:rsidP="00290B55">
      <w:pPr>
        <w:numPr>
          <w:ilvl w:val="0"/>
          <w:numId w:val="1"/>
        </w:numPr>
        <w:spacing w:after="120" w:line="276" w:lineRule="auto"/>
        <w:ind w:left="403" w:hanging="403"/>
      </w:pPr>
      <w:r>
        <w:rPr>
          <w:b/>
          <w:color w:val="000000"/>
        </w:rPr>
        <w:t>Decidir si pueden lograrse avances significativos en la tecnología de eliminación del carbono.</w:t>
      </w:r>
      <w:r>
        <w:t xml:space="preserve"> El sector emergente de la tecnología de eliminación del dióxido de carbono estudia métodos para eliminar el CO</w:t>
      </w:r>
      <w:r>
        <w:rPr>
          <w:vertAlign w:val="subscript"/>
        </w:rPr>
        <w:t>2</w:t>
      </w:r>
      <w:r>
        <w:t xml:space="preserve"> que ya está en la atmósfera. Estas tecnologías van desde cambios en las prácticas agrícolas que podrían aplicarse ahora mismo a tecnologías teóricas y no probadas como la captura directa del aire. Su grupo puede decidir invertir en estas tecnologías.</w:t>
      </w:r>
    </w:p>
    <w:p w:rsidR="002C1D77" w:rsidRPr="007A09A4" w:rsidRDefault="00DC05B0" w:rsidP="00290B55">
      <w:pPr>
        <w:numPr>
          <w:ilvl w:val="0"/>
          <w:numId w:val="1"/>
        </w:numPr>
        <w:tabs>
          <w:tab w:val="left" w:pos="355"/>
        </w:tabs>
        <w:spacing w:after="120" w:line="276" w:lineRule="auto"/>
        <w:ind w:left="403" w:hanging="403"/>
      </w:pPr>
      <w:r>
        <w:rPr>
          <w:b/>
        </w:rPr>
        <w:t>Considerar la posibilidad de fijar un precio para las emisiones de CO</w:t>
      </w:r>
      <w:r>
        <w:rPr>
          <w:b/>
          <w:vertAlign w:val="subscript"/>
        </w:rPr>
        <w:t>2</w:t>
      </w:r>
      <w:r>
        <w:rPr>
          <w:b/>
        </w:rPr>
        <w:t>.</w:t>
      </w:r>
      <w:r>
        <w:t xml:space="preserve"> Los combustibles fósiles siguen dominando el sistema energético mundial y el CO</w:t>
      </w:r>
      <w:r>
        <w:rPr>
          <w:vertAlign w:val="subscript"/>
        </w:rPr>
        <w:t>2</w:t>
      </w:r>
      <w:r>
        <w:t xml:space="preserve"> que emiten es, con diferencia, la principal fuente de emisiones de GEI. Los economistas coinciden en que el precio del carbono es la mejor manera de reducir las emisiones mundiales de GEI. Considerar la posibilidad de introducir un precio para el carbono, quizá haciéndolo de forma gradual, para que las empresas y los consumidores tengan tiempo de adaptarse. Los ingresos pueden ser devueltos a los ciudadanos, contribuir a compensar los costes de otras políticas, a reducir los déficits presupuestarios o a facilitar ayudas que permitan a los países en desarrollo reducir sus emisiones. Aunque ya se han aplicado precios al carbono en algunos de los países, regiones y provincias de su grupo, la mayoría son muy inferiores a los 30-50 dólares por tonelada de CO</w:t>
      </w:r>
      <w:r>
        <w:rPr>
          <w:vertAlign w:val="subscript"/>
        </w:rPr>
        <w:t>2</w:t>
      </w:r>
      <w:r>
        <w:t>, o incluso más, que recomiendan muchos economistas. La industria de los combustibles fósiles se opone a los precios del carbono, al igual que las empresas que tienen una gran dependencia de ellos.</w:t>
      </w:r>
    </w:p>
    <w:p w:rsidR="002C1D77" w:rsidRPr="000A6D24" w:rsidRDefault="00DC05B0" w:rsidP="00290B55">
      <w:pPr>
        <w:spacing w:after="120" w:line="276" w:lineRule="auto"/>
        <w:rPr>
          <w:b/>
        </w:rPr>
      </w:pPr>
      <w:r>
        <w:rPr>
          <w:b/>
          <w:color w:val="000000"/>
        </w:rPr>
        <w:t>Consideraciones adicionales</w:t>
      </w:r>
    </w:p>
    <w:p w:rsidR="002C1D77" w:rsidRPr="004D0CFD" w:rsidRDefault="00DC05B0" w:rsidP="000A6D24">
      <w:pPr>
        <w:spacing w:after="120" w:line="276" w:lineRule="auto"/>
      </w:pPr>
      <w:r>
        <w:rPr>
          <w:color w:val="000000"/>
        </w:rPr>
        <w:t>Su grupo reconoce que el cambio climático es real, causado principalmente por la combustión de combustibles fósiles, y presenta graves riesgos para la población en todo el mundo, incluida la de sus países. El cambio climático es una grave amenaza con un efecto multiplicador que socava su seguridad nacional, ya que el daño causado por el cambio climático impulsa cada vez más los conflictos y la migración, lo que ya está causando una involución en algunos países y la imposición de políticas contra la inmigración.</w:t>
      </w:r>
    </w:p>
    <w:p w:rsidR="002C1D77" w:rsidRPr="004D0CFD" w:rsidRDefault="00DC05B0" w:rsidP="000A6D24">
      <w:pPr>
        <w:spacing w:after="120" w:line="276" w:lineRule="auto"/>
      </w:pPr>
      <w:r>
        <w:rPr>
          <w:color w:val="000000"/>
        </w:rPr>
        <w:lastRenderedPageBreak/>
        <w:t xml:space="preserve">Al mismo tiempo, sus países dependen de los combustibles fósiles: estos países son responsables en la actualidad del 36 % de las emisiones mundiales de gases de efecto invernadero (GEI) y de un porcentaje mucho mayor de las emisiones acumuladas desde la revolución industrial. Las economías de algunos países de su grupo dependen de las exportaciones de combustibles fósiles, especialmente Rusia (petróleo y gas), Australia (carbón) y Canadá (petróleo procedente de arenas bituminosas). Los Estados Unidos han anunciado su intención de retirarse del Acuerdo de París sobre el Cambio Climático de 2015, y el Gobierno federal de los Estados Unidos está frenando muchas políticas respetuosas con el clima. </w:t>
      </w:r>
      <w:r>
        <w:t xml:space="preserve">Al mismo tiempo, </w:t>
      </w:r>
      <w:r>
        <w:rPr>
          <w:rStyle w:val="Bodytext2"/>
        </w:rPr>
        <w:t>docenas de estados</w:t>
      </w:r>
      <w:r>
        <w:t xml:space="preserve"> y cientos de ciudades, condados y empresas de los Estados Unidos han iniciado una campaña para defender el acuerdo («</w:t>
      </w:r>
      <w:r w:rsidR="009E32C2">
        <w:rPr>
          <w:rStyle w:val="Bodytext2"/>
          <w:lang w:val="en-GB"/>
        </w:rPr>
        <w:t>W</w:t>
      </w:r>
      <w:r w:rsidR="009E32C2" w:rsidRPr="004D0CFD">
        <w:rPr>
          <w:rStyle w:val="Bodytext2"/>
          <w:lang w:val="en-GB"/>
        </w:rPr>
        <w:t>e are still in</w:t>
      </w:r>
      <w:r>
        <w:t>») y se han comprometido a cumplir o superar su porcentaje de las obligaciones de los Estados Unidos.</w:t>
      </w:r>
      <w:r>
        <w:rPr>
          <w:color w:val="000000"/>
        </w:rPr>
        <w:t xml:space="preserve"> Muchos gobiernos y empresas están descubriendo que las políticas respetuosas con el clima son buenas par</w:t>
      </w:r>
      <w:bookmarkStart w:id="1" w:name="_GoBack"/>
      <w:bookmarkEnd w:id="1"/>
      <w:r>
        <w:rPr>
          <w:color w:val="000000"/>
        </w:rPr>
        <w:t>a la economía. La eficiencia energética y las energías renovables, como la eólica y la solar, a menudo son rentables, crean empleo y mejoran la salud pública.</w:t>
      </w:r>
    </w:p>
    <w:p w:rsidR="002C1D77" w:rsidRPr="004D0CFD" w:rsidRDefault="00DC05B0">
      <w:pPr>
        <w:spacing w:line="276" w:lineRule="auto"/>
      </w:pPr>
      <w:r>
        <w:rPr>
          <w:color w:val="000000"/>
        </w:rPr>
        <w:t>Mientras los países de su grupo se están esforzando por reducir las emisiones de gases de efecto invernadero, señalan que China es el mayor emisor mundial (28 % de las emisiones mundiales) y que los países en desarrollo y emergentes emiten colectivamente en torno al 65 % de las emisiones mundiales, a pesar de que las emisiones por persona en esas naciones son bajas.</w:t>
      </w:r>
    </w:p>
    <w:sectPr w:rsidR="002C1D77" w:rsidRPr="004D0CFD" w:rsidSect="004D0CFD">
      <w:footerReference w:type="default" r:id="rId8"/>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FD" w:rsidRPr="00290B55" w:rsidRDefault="004D0CFD">
    <w:pPr>
      <w:pStyle w:val="Footer"/>
      <w:rPr>
        <w:i/>
        <w:sz w:val="18"/>
        <w:szCs w:val="18"/>
      </w:rPr>
    </w:pPr>
    <w:r>
      <w:rPr>
        <w:i/>
        <w:sz w:val="18"/>
        <w:szCs w:val="18"/>
      </w:rPr>
      <w:t xml:space="preserve">Desarrollada por Climate Interactive, MIT Sloan School of Management Sustainability Initiative, ESB Business School y UMass Lowell Climate Change Initiative. Última actualización: septiembre de 2019. </w:t>
    </w:r>
    <w:hyperlink r:id="rId1" w:history="1">
      <w:r>
        <w:rPr>
          <w:rStyle w:val="Hyperlink"/>
          <w:i/>
          <w:sz w:val="18"/>
          <w:szCs w:val="18"/>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6720E"/>
    <w:rsid w:val="000A6D24"/>
    <w:rsid w:val="00290B55"/>
    <w:rsid w:val="002C1D77"/>
    <w:rsid w:val="004D0CFD"/>
    <w:rsid w:val="00571732"/>
    <w:rsid w:val="005C1752"/>
    <w:rsid w:val="006D3A3F"/>
    <w:rsid w:val="007412A6"/>
    <w:rsid w:val="007835BC"/>
    <w:rsid w:val="007A09A4"/>
    <w:rsid w:val="0091067F"/>
    <w:rsid w:val="009E32C2"/>
    <w:rsid w:val="00A26097"/>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B9325"/>
  <w15:docId w15:val="{C9EF6C54-3AA1-4ED3-A3A8-75315E6F79E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s-ES"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s-ES"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s-ES"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s-ES"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es-ES"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s-ES"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s-ES"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s-ES"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CTJJHAUHWN5E-644613129-1426</_dlc_DocId>
    <_dlc_DocIdUrl xmlns="bfc960a6-20da-4c94-8684-71380fca093b">
      <Url>http://dm2016/eesc/2019/_layouts/15/DocIdRedir.aspx?ID=CTJJHAUHWN5E-644613129-1426</Url>
      <Description>CTJJHAUHWN5E-644613129-1426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2019-12-03T12:00:00+00:00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246</Value>
      <Value>152</Value>
      <Value>21</Value>
      <Value>17</Value>
      <Value>153</Value>
      <Value>162</Value>
      <Value>11</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C0A8EC-80BA-44CF-BF7E-F59FDC76E283}"/>
</file>

<file path=customXml/itemProps2.xml><?xml version="1.0" encoding="utf-8"?>
<ds:datastoreItem xmlns:ds="http://schemas.openxmlformats.org/officeDocument/2006/customXml" ds:itemID="{A91236F2-1FA5-45FB-BEEB-BDF95DC4CB09}"/>
</file>

<file path=customXml/itemProps3.xml><?xml version="1.0" encoding="utf-8"?>
<ds:datastoreItem xmlns:ds="http://schemas.openxmlformats.org/officeDocument/2006/customXml" ds:itemID="{D91519C3-502F-4796-AB29-1199E2538136}"/>
</file>

<file path=customXml/itemProps4.xml><?xml version="1.0" encoding="utf-8"?>
<ds:datastoreItem xmlns:ds="http://schemas.openxmlformats.org/officeDocument/2006/customXml" ds:itemID="{EE981E63-EF2B-42A7-BB83-57228AEE5C41}"/>
</file>

<file path=docProps/app.xml><?xml version="1.0" encoding="utf-8"?>
<Properties xmlns="http://schemas.openxmlformats.org/officeDocument/2006/extended-properties" xmlns:vt="http://schemas.openxmlformats.org/officeDocument/2006/docPropsVTypes">
  <Template>Styles.dotm</Template>
  <TotalTime>7</TotalTime>
  <Pages>3</Pages>
  <Words>1380</Words>
  <Characters>7869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Documentos de trabajo - Grupo 6A - Naciones en vías de desarrollo</dc:title>
  <dc:subject>Documento de información</dc:subject>
  <cp:keywords>EESC-2019-05163-05-00-INFO-TRA-EN</cp:keywords>
  <dc:description>Rapporteur:  - Original language: EN - Date of document: 03/12/2019 - Date of meeting:  - External documents:  - Administrator: MME Lahousse Chloé</dc:description>
  <cp:lastModifiedBy>Maria Carreira</cp:lastModifiedBy>
  <cp:revision>5</cp:revision>
  <dcterms:created xsi:type="dcterms:W3CDTF">2019-11-15T11:30:00Z</dcterms:created>
  <dcterms:modified xsi:type="dcterms:W3CDTF">2019-11-27T13:34:00Z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ee97f891-d76e-4ba8-847a-c517e8030433</vt:lpwstr>
  </property>
  <property fmtid="{D5CDD505-2E9C-101B-9397-08002B2CF9AE}" pid="9" name="AvailableTranslations">
    <vt:lpwstr>152;#MK|34ce48bb-063e-4413-a932-50853dc71c5c;#162;#TR|6e4ededd-04c4-4fa0-94e0-1028050302d5;#154;#SQ|5ac17240-8d11-45ec-9893-659b209d7a00;#4;#EN|f2175f21-25d7-44a3-96da-d6a61b075e1b;#17;#ES|e7a6b05b-ae16-40c8-add9-68b64b03aeba;#153;#SR|7f3a1d13-b985-4bfd-981e-afe31377edff;#246;#ME|925b3da5-5ac0-4b3c-928c-6ef66a5c9b3c;#21;#IT|0774613c-01ed-4e5d-a25d-11d2388de825</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MK|34ce48bb-063e-4413-a932-50853dc71c5c;TR|6e4ededd-04c4-4fa0-94e0-1028050302d5;SQ|5ac17240-8d11-45ec-9893-659b209d7a00;EN|f2175f21-25d7-44a3-96da-d6a61b075e1b;SR|7f3a1d13-b985-4bfd-981e-afe31377edff;ME|925b3da5-5ac0-4b3c-928c-6ef66a5c9b3c;IT|0774613c-01ed-4e5d-a25d-11d2388de825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21;#IT|0774613c-01ed-4e5d-a25d-11d2388de825;#11;#INFO|d9136e7c-93a9-4c42-9d28-92b61e85f80c;#154;#SQ|5ac17240-8d11-45ec-9893-659b209d7a00;#162;#TR|6e4ededd-04c4-4fa0-94e0-1028050302d5;#246;#ME|925b3da5-5ac0-4b3c-928c-6ef66a5c9b3c;#7;#Final|ea5e6674-7b27-4bac-b091-73adbb394efe;#5;#Unrestricted|826e22d7-d029-4ec0-a450-0c28ff673572;#4;#EN|f2175f21-25d7-44a3-96da-d6a61b075e1b;#2;#TRA|150d2a88-1431-44e6-a8ca-0bb753ab8672;#1;#EESC|422833ec-8d7e-4e65-8e4e-8bed07ffb729;#153;#SR|7f3a1d13-b985-4bfd-981e-afe31377edff</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17;#ES|e7a6b05b-ae16-40c8-add9-68b64b03aeba</vt:lpwstr>
  </property>
  <property fmtid="{D5CDD505-2E9C-101B-9397-08002B2CF9AE}" pid="38" name="_docset_NoMedatataSyncRequired">
    <vt:lpwstr>False</vt:lpwstr>
  </property>
</Properties>
</file>